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696656" w:rsidRDefault="00696656" w:rsidP="00CB4543">
      <w:pPr>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00CB4543" w:rsidRPr="00C44E82">
        <w:rPr>
          <w:rFonts w:ascii="Times New Roman" w:hAnsi="Times New Roman" w:cs="Times New Roman"/>
          <w:b/>
          <w:sz w:val="24"/>
          <w:szCs w:val="24"/>
          <w:lang w:val="kk-KZ"/>
        </w:rPr>
        <w:t xml:space="preserve"> -тақырып. </w:t>
      </w:r>
      <w:r w:rsidRPr="00696656">
        <w:rPr>
          <w:rStyle w:val="s1"/>
          <w:lang w:val="kk-KZ"/>
        </w:rPr>
        <w:t>Мемлекеттік аудит нәтижелері бойынша қабылданатын құжаттар</w:t>
      </w:r>
    </w:p>
    <w:p w:rsidR="00CB4543" w:rsidRPr="00C44E82" w:rsidRDefault="00CB4543" w:rsidP="00CB4543">
      <w:pPr>
        <w:tabs>
          <w:tab w:val="left" w:pos="851"/>
        </w:tabs>
        <w:spacing w:after="0" w:line="240" w:lineRule="auto"/>
        <w:jc w:val="center"/>
        <w:rPr>
          <w:rFonts w:ascii="Times New Roman" w:hAnsi="Times New Roman" w:cs="Times New Roman"/>
          <w:b/>
          <w:sz w:val="24"/>
          <w:szCs w:val="24"/>
          <w:lang w:val="kk-KZ"/>
        </w:rPr>
      </w:pPr>
    </w:p>
    <w:p w:rsidR="00CB4543" w:rsidRPr="00C44E82"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C44E82" w:rsidRDefault="00CB4543" w:rsidP="00CB4543">
      <w:pPr>
        <w:jc w:val="center"/>
        <w:rPr>
          <w:rFonts w:ascii="Times New Roman" w:hAnsi="Times New Roman" w:cs="Times New Roman"/>
          <w:b/>
          <w:sz w:val="24"/>
          <w:szCs w:val="24"/>
          <w:lang w:val="kk-KZ"/>
        </w:rPr>
      </w:pPr>
      <w:r w:rsidRPr="00C44E82">
        <w:rPr>
          <w:rFonts w:ascii="Times New Roman" w:hAnsi="Times New Roman" w:cs="Times New Roman"/>
          <w:b/>
          <w:sz w:val="24"/>
          <w:szCs w:val="24"/>
          <w:lang w:val="kk-KZ"/>
        </w:rPr>
        <w:t xml:space="preserve">Дәріс сабағының мақсаты: </w:t>
      </w:r>
      <w:r w:rsidR="00696656" w:rsidRPr="00696656">
        <w:rPr>
          <w:rStyle w:val="s1"/>
          <w:lang w:val="kk-KZ"/>
        </w:rPr>
        <w:t>Мемлекеттік аудит нәтижелері бойынша қабылданатын құжаттар</w:t>
      </w:r>
      <w:r w:rsidR="00696656">
        <w:rPr>
          <w:rFonts w:ascii="Times New Roman" w:hAnsi="Times New Roman" w:cs="Times New Roman"/>
          <w:b/>
          <w:sz w:val="24"/>
          <w:szCs w:val="24"/>
          <w:lang w:val="kk-KZ"/>
        </w:rPr>
        <w:t xml:space="preserve">ды  </w:t>
      </w:r>
      <w:r w:rsidRPr="00C44E82">
        <w:rPr>
          <w:rFonts w:ascii="Times New Roman" w:hAnsi="Times New Roman" w:cs="Times New Roman"/>
          <w:b/>
          <w:sz w:val="24"/>
          <w:szCs w:val="24"/>
          <w:lang w:val="kk-KZ"/>
        </w:rPr>
        <w:t>айқындау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C44E82" w:rsidRPr="00C44E82" w:rsidRDefault="00696656" w:rsidP="00C44E82">
      <w:pPr>
        <w:pStyle w:val="pj"/>
        <w:numPr>
          <w:ilvl w:val="0"/>
          <w:numId w:val="1"/>
        </w:numPr>
        <w:rPr>
          <w:lang w:val="kk-KZ"/>
        </w:rPr>
      </w:pPr>
      <w:r w:rsidRPr="00696656">
        <w:rPr>
          <w:rStyle w:val="s1"/>
          <w:lang w:val="kk-KZ"/>
        </w:rPr>
        <w:t>Мемлекеттік аудит нәтижелері бойынша қабылданатын құжаттар</w:t>
      </w:r>
      <w:r>
        <w:rPr>
          <w:rStyle w:val="s1"/>
          <w:lang w:val="kk-KZ"/>
        </w:rPr>
        <w:t>ға талдау</w:t>
      </w:r>
      <w:r w:rsidRPr="00C44E82">
        <w:rPr>
          <w:rStyle w:val="s1"/>
          <w:lang w:val="kk-KZ"/>
        </w:rPr>
        <w:t xml:space="preserve"> </w:t>
      </w:r>
      <w:r>
        <w:rPr>
          <w:rStyle w:val="s1"/>
          <w:lang w:val="kk-KZ"/>
        </w:rPr>
        <w:t xml:space="preserve"> </w:t>
      </w:r>
    </w:p>
    <w:p w:rsidR="00696656" w:rsidRPr="00696656" w:rsidRDefault="00696656" w:rsidP="00CB4543">
      <w:pPr>
        <w:pStyle w:val="pj"/>
        <w:numPr>
          <w:ilvl w:val="0"/>
          <w:numId w:val="1"/>
        </w:numPr>
        <w:rPr>
          <w:rStyle w:val="s1"/>
          <w:b w:val="0"/>
          <w:bCs w:val="0"/>
          <w:lang w:val="kk-KZ"/>
        </w:rPr>
      </w:pPr>
      <w:r w:rsidRPr="00696656">
        <w:rPr>
          <w:rStyle w:val="s1"/>
          <w:lang w:val="kk-KZ"/>
        </w:rPr>
        <w:t>Қаржылық есептілік жөніндегі аудиторлық есептің ерекшеліктері</w:t>
      </w:r>
      <w:r w:rsidRPr="00696656">
        <w:rPr>
          <w:rStyle w:val="s1"/>
          <w:lang w:val="kk-KZ"/>
        </w:rPr>
        <w:t xml:space="preserve"> </w:t>
      </w:r>
    </w:p>
    <w:p w:rsidR="00696656" w:rsidRPr="00696656" w:rsidRDefault="00696656" w:rsidP="00CB4543">
      <w:pPr>
        <w:pStyle w:val="pj"/>
        <w:numPr>
          <w:ilvl w:val="0"/>
          <w:numId w:val="1"/>
        </w:numPr>
        <w:rPr>
          <w:rStyle w:val="s1"/>
          <w:b w:val="0"/>
          <w:bCs w:val="0"/>
          <w:lang w:val="kk-KZ"/>
        </w:rPr>
      </w:pPr>
      <w:r w:rsidRPr="00696656">
        <w:rPr>
          <w:rStyle w:val="s1"/>
          <w:lang w:val="kk-KZ"/>
        </w:rPr>
        <w:t>Сапа бақылауы</w:t>
      </w:r>
      <w:r w:rsidRPr="00C44E82">
        <w:rPr>
          <w:rStyle w:val="s1"/>
          <w:lang w:val="kk-KZ"/>
        </w:rPr>
        <w:t xml:space="preserve"> </w:t>
      </w:r>
    </w:p>
    <w:p w:rsidR="00696656" w:rsidRPr="00696656" w:rsidRDefault="00696656" w:rsidP="00696656">
      <w:pPr>
        <w:pStyle w:val="pj"/>
        <w:numPr>
          <w:ilvl w:val="0"/>
          <w:numId w:val="1"/>
        </w:numPr>
        <w:rPr>
          <w:lang w:val="kk-KZ"/>
        </w:rPr>
      </w:pPr>
      <w:r w:rsidRPr="00696656">
        <w:rPr>
          <w:rStyle w:val="s1"/>
          <w:lang w:val="kk-KZ"/>
        </w:rPr>
        <w:t>Мемлекеттік аудит және қаржылық бақылау нәтижелері бойынша қабылданатын құжаттардың мониторингі</w:t>
      </w: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Default="00CB4543" w:rsidP="00CB4543">
      <w:pPr>
        <w:pStyle w:val="pj"/>
        <w:rPr>
          <w:rStyle w:val="s0"/>
          <w:lang w:val="kk-KZ"/>
        </w:rPr>
      </w:pPr>
    </w:p>
    <w:p w:rsidR="00696656" w:rsidRPr="00696656" w:rsidRDefault="00696656" w:rsidP="00696656">
      <w:pPr>
        <w:pStyle w:val="pj"/>
        <w:rPr>
          <w:lang w:val="kk-KZ"/>
        </w:rPr>
      </w:pPr>
      <w:r w:rsidRPr="00696656">
        <w:rPr>
          <w:rStyle w:val="s1"/>
          <w:lang w:val="kk-KZ"/>
        </w:rPr>
        <w:t>Мемлекеттік аудит нәтижелері бойынша қабылданатын құжаттар</w:t>
      </w:r>
      <w:r>
        <w:rPr>
          <w:rStyle w:val="s1"/>
          <w:lang w:val="kk-KZ"/>
        </w:rPr>
        <w:t>ды талдау</w:t>
      </w:r>
    </w:p>
    <w:p w:rsidR="00696656" w:rsidRPr="00696656" w:rsidRDefault="00696656" w:rsidP="00696656">
      <w:pPr>
        <w:pStyle w:val="pj"/>
        <w:rPr>
          <w:lang w:val="kk-KZ"/>
        </w:rPr>
      </w:pPr>
      <w:r w:rsidRPr="00696656">
        <w:rPr>
          <w:rStyle w:val="s0"/>
          <w:lang w:val="kk-KZ"/>
        </w:rPr>
        <w:t>Мемлекеттік аудит нәтижелері бойынша мемлекеттік аудит және қаржылық бақылау органдары мынадай құжаттарды қабылдайды:</w:t>
      </w:r>
    </w:p>
    <w:p w:rsidR="00696656" w:rsidRPr="00696656" w:rsidRDefault="00696656" w:rsidP="00696656">
      <w:pPr>
        <w:pStyle w:val="pj"/>
        <w:rPr>
          <w:lang w:val="kk-KZ"/>
        </w:rPr>
      </w:pPr>
      <w:r w:rsidRPr="00696656">
        <w:rPr>
          <w:rStyle w:val="s0"/>
          <w:lang w:val="kk-KZ"/>
        </w:rPr>
        <w:t>1) қаржылық есептілік жөніндегі аудиторлық есеп - мемлекеттік аудитті тікелей жүргізген мемлекеттік аудиторлар жасаған, қаржылық есептіліктің анықтылығы, сондай-ақ бухгалтерлік есепті жүргізу және қаржылық есептілікті жасау тәртібінің Қазақстан Республикасының заңнамасында белгіленген талаптарға сәйкестігі туралы жазбаша нысанда білдірілген пікірді қамтитын құжат;</w:t>
      </w:r>
    </w:p>
    <w:p w:rsidR="00696656" w:rsidRPr="00696656" w:rsidRDefault="00696656" w:rsidP="00696656">
      <w:pPr>
        <w:pStyle w:val="pj"/>
        <w:rPr>
          <w:lang w:val="kk-KZ"/>
        </w:rPr>
      </w:pPr>
      <w:r w:rsidRPr="00696656">
        <w:rPr>
          <w:rStyle w:val="s0"/>
          <w:lang w:val="kk-KZ"/>
        </w:rPr>
        <w:t>2) аудиторлық есеп - мемлекеттік аудитті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p w:rsidR="00696656" w:rsidRPr="00696656" w:rsidRDefault="00696656" w:rsidP="00696656">
      <w:pPr>
        <w:pStyle w:val="pj"/>
        <w:rPr>
          <w:lang w:val="kk-KZ"/>
        </w:rPr>
      </w:pPr>
      <w:r w:rsidRPr="00696656">
        <w:rPr>
          <w:rStyle w:val="s0"/>
          <w:lang w:val="kk-KZ"/>
        </w:rPr>
        <w:t>3) аудиторлық қорытынды - аудиторлық есептер және (немесе) қаржылық есептілік жөніндегі аудиторлық есептер негізінде жасалатын, тұжырымдар мен ұсынымдарды қамтитын және өз өкілеттіктері шегінде Есеп комитетінің, тексеру комиссиясының қаулысымен, ішкі мемлекеттік аудит жөніндегі уәкілетті орган басшысының бұйрығымен бекітілетін құжат;</w:t>
      </w:r>
    </w:p>
    <w:p w:rsidR="00696656" w:rsidRPr="00696656" w:rsidRDefault="00696656" w:rsidP="00696656">
      <w:pPr>
        <w:pStyle w:val="pj"/>
        <w:rPr>
          <w:lang w:val="kk-KZ"/>
        </w:rPr>
      </w:pPr>
      <w:r w:rsidRPr="00696656">
        <w:rPr>
          <w:rStyle w:val="s0"/>
          <w:lang w:val="kk-KZ"/>
        </w:rPr>
        <w:t>4) ішкі аудит нәтижелері туралы есеп - ішкі аудит қызметі жасаған жұмыс тиімділігін арттыру, мемлекеттік аудит объектісі қызметінің тікелей және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бар қаланың, астананың әкіміне және ішкі мемлекеттік аудит жөніндегі уәкілетті органға ұсынылатын құжат.</w:t>
      </w:r>
    </w:p>
    <w:p w:rsidR="00696656" w:rsidRPr="00696656" w:rsidRDefault="00696656" w:rsidP="00696656">
      <w:pPr>
        <w:pStyle w:val="pj"/>
        <w:rPr>
          <w:lang w:val="kk-KZ"/>
        </w:rPr>
      </w:pPr>
      <w:r w:rsidRPr="00696656">
        <w:rPr>
          <w:rStyle w:val="s0"/>
          <w:lang w:val="kk-KZ"/>
        </w:rPr>
        <w:t>Мемлекеттік аудитордың ассистенті мемлекеттік аудит нәтижелері бойынша құжаттарға (аудиторлық есепке) қол қоймайды.</w:t>
      </w:r>
    </w:p>
    <w:p w:rsidR="00696656" w:rsidRPr="00696656" w:rsidRDefault="00696656" w:rsidP="00696656">
      <w:pPr>
        <w:pStyle w:val="pj"/>
        <w:rPr>
          <w:lang w:val="kk-KZ"/>
        </w:rPr>
      </w:pPr>
      <w:r w:rsidRPr="00696656">
        <w:rPr>
          <w:rStyle w:val="s0"/>
          <w:lang w:val="kk-KZ"/>
        </w:rPr>
        <w:lastRenderedPageBreak/>
        <w:t> </w:t>
      </w:r>
    </w:p>
    <w:p w:rsidR="00696656" w:rsidRPr="00696656" w:rsidRDefault="00696656" w:rsidP="00696656">
      <w:pPr>
        <w:pStyle w:val="pj"/>
        <w:rPr>
          <w:lang w:val="kk-KZ"/>
        </w:rPr>
      </w:pPr>
      <w:bookmarkStart w:id="0" w:name="SUB230000"/>
      <w:bookmarkEnd w:id="0"/>
      <w:r w:rsidRPr="00696656">
        <w:rPr>
          <w:rStyle w:val="s1"/>
          <w:lang w:val="kk-KZ"/>
        </w:rPr>
        <w:t xml:space="preserve"> Қаржылық есептілік жөніндегі аудиторлық есептің ерекшеліктері</w:t>
      </w:r>
    </w:p>
    <w:p w:rsidR="00696656" w:rsidRPr="00696656" w:rsidRDefault="00696656" w:rsidP="00696656">
      <w:pPr>
        <w:pStyle w:val="pj"/>
        <w:rPr>
          <w:lang w:val="kk-KZ"/>
        </w:rPr>
      </w:pPr>
      <w:r w:rsidRPr="00696656">
        <w:rPr>
          <w:rStyle w:val="s0"/>
          <w:lang w:val="kk-KZ"/>
        </w:rPr>
        <w:t>1. Шоғырландырылған немесе жекелеген қаржылық есептілік аудитінің нәтижелері бойынша:</w:t>
      </w:r>
    </w:p>
    <w:p w:rsidR="00696656" w:rsidRPr="00696656" w:rsidRDefault="00696656" w:rsidP="00696656">
      <w:pPr>
        <w:pStyle w:val="pj"/>
        <w:rPr>
          <w:lang w:val="kk-KZ"/>
        </w:rPr>
      </w:pPr>
      <w:r w:rsidRPr="00696656">
        <w:rPr>
          <w:rStyle w:val="s0"/>
          <w:lang w:val="kk-KZ"/>
        </w:rPr>
        <w:t>1) елеулі қателер болмаған кезде - қаржылық есептілік жөніндегі оң аудиторлық есеп;</w:t>
      </w:r>
    </w:p>
    <w:p w:rsidR="00696656" w:rsidRPr="00696656" w:rsidRDefault="00696656" w:rsidP="00696656">
      <w:pPr>
        <w:pStyle w:val="pj"/>
        <w:rPr>
          <w:lang w:val="kk-KZ"/>
        </w:rPr>
      </w:pPr>
      <w:r w:rsidRPr="00696656">
        <w:rPr>
          <w:rStyle w:val="s0"/>
          <w:lang w:val="kk-KZ"/>
        </w:rPr>
        <w:t>2) елеулі қателер анықталған кезде - қаржылық есептілік жөніндегі ескертпесі бар аудиторлық есеп қабылданады.</w:t>
      </w:r>
    </w:p>
    <w:p w:rsidR="00696656" w:rsidRPr="00696656" w:rsidRDefault="00696656" w:rsidP="00696656">
      <w:pPr>
        <w:pStyle w:val="pj"/>
        <w:rPr>
          <w:lang w:val="kk-KZ"/>
        </w:rPr>
      </w:pPr>
      <w:r w:rsidRPr="00696656">
        <w:rPr>
          <w:rStyle w:val="s0"/>
          <w:lang w:val="kk-KZ"/>
        </w:rPr>
        <w:t>2. Мемлекеттік аудит объектісінде бухгалтерлік есеп жүргізілмеген не бухгалтерлік құжаттар жоғалған жағдайларда, мемлекеттік аудит және қаржылық бақылау органының басшысы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анықтай отырып, мемлекеттік аудит объектісінде бухгалтерлік есепті қалпына келтіру туралы талаппен нұсқама жібереді және мемлекеттік аудит объектілерінің тиісті жылға арналған тізбесіне тиісті өзгерістер енгізе отырып, мемлекеттік аудитті уақытша тоқтата тұру туралы шешім қабылдайды. Бұл ретте жекелеген қаржылық есептілік аудитінің нәтижелері бойынша мемлекеттік аудитор пікірін білдіруден бас тарта отырып, аудиторлық есеп береді.</w:t>
      </w:r>
    </w:p>
    <w:p w:rsidR="00696656" w:rsidRPr="00696656" w:rsidRDefault="00696656" w:rsidP="00696656">
      <w:pPr>
        <w:pStyle w:val="pj"/>
        <w:rPr>
          <w:lang w:val="kk-KZ"/>
        </w:rPr>
      </w:pPr>
      <w:r w:rsidRPr="00696656">
        <w:rPr>
          <w:rStyle w:val="s0"/>
          <w:lang w:val="kk-KZ"/>
        </w:rPr>
        <w:t> </w:t>
      </w:r>
    </w:p>
    <w:p w:rsidR="00696656" w:rsidRPr="00696656" w:rsidRDefault="00696656" w:rsidP="00696656">
      <w:pPr>
        <w:pStyle w:val="pj"/>
        <w:rPr>
          <w:lang w:val="kk-KZ"/>
        </w:rPr>
      </w:pPr>
      <w:bookmarkStart w:id="1" w:name="SUB240000"/>
      <w:bookmarkEnd w:id="1"/>
      <w:r w:rsidRPr="00696656">
        <w:rPr>
          <w:rStyle w:val="s1"/>
          <w:lang w:val="kk-KZ"/>
        </w:rPr>
        <w:t xml:space="preserve"> Сапа бақылауы</w:t>
      </w:r>
    </w:p>
    <w:p w:rsidR="00696656" w:rsidRPr="00696656" w:rsidRDefault="00696656" w:rsidP="00696656">
      <w:pPr>
        <w:pStyle w:val="pj"/>
        <w:rPr>
          <w:lang w:val="kk-KZ"/>
        </w:rPr>
      </w:pPr>
      <w:r w:rsidRPr="00696656">
        <w:rPr>
          <w:rStyle w:val="s0"/>
          <w:lang w:val="kk-KZ"/>
        </w:rPr>
        <w:t>1. Мемлекеттік аудит және қаржылық бақылау органдарының басшылары өз қызметі барысында мемлекеттік аудиторлар және мемлекеттік аудит және қаржылық бақылау органдарының өзге де лауазымды адамдары жасайтын құжаттарға тәуекелдерді басқару жүйесі негізінде мемлекеттік аудит және қаржылық бақылау жүргізудің тиісті қағидаларында айқындалған тәртіппен мемлекеттік аудит және қаржылық бақылау стандарттарына сәйкестігі тұрғысынан тұрақты тексеру және (немесе) талдау жүргізу арқылы сапаны бақылауды ұйымдастыруды қамтамасыз етеді.</w:t>
      </w:r>
    </w:p>
    <w:p w:rsidR="00696656" w:rsidRPr="00696656" w:rsidRDefault="00696656" w:rsidP="00696656">
      <w:pPr>
        <w:pStyle w:val="pj"/>
        <w:rPr>
          <w:lang w:val="kk-KZ"/>
        </w:rPr>
      </w:pPr>
      <w:r w:rsidRPr="00696656">
        <w:rPr>
          <w:rStyle w:val="s0"/>
          <w:lang w:val="kk-KZ"/>
        </w:rPr>
        <w:t>2. Мемлекеттік аудит және қаржылық бақылау органдарының аудиторлық қызметінің барлық кезеңі, мемлекеттік аудиторлардың бүкіл қызметі сапаны бақылауға жатады.</w:t>
      </w:r>
    </w:p>
    <w:p w:rsidR="00696656" w:rsidRPr="00696656" w:rsidRDefault="00696656" w:rsidP="00696656">
      <w:pPr>
        <w:pStyle w:val="pj"/>
        <w:rPr>
          <w:lang w:val="kk-KZ"/>
        </w:rPr>
      </w:pPr>
      <w:r w:rsidRPr="00696656">
        <w:rPr>
          <w:rStyle w:val="s0"/>
          <w:lang w:val="kk-KZ"/>
        </w:rPr>
        <w:t>3. Сапа бақылауын жүргізу қажеттілігі мен мерзімділігі, оның ішінде мемлекеттік аудит нәтижелерін қайта тексеру қажеттілігі, сондай-ақ сапа бақылауының жеделдігі мен нәтижелігін қамтамасыз ету мақсатында оны жүргізу мерзімдері мен ұзақтығы мемлекеттік аудит және қаржылық бақылау жүргізудің тиісті қағидаларында айқындалған тәртіппен айқындалады.</w:t>
      </w:r>
    </w:p>
    <w:p w:rsidR="00696656" w:rsidRPr="00696656" w:rsidRDefault="00696656" w:rsidP="00696656">
      <w:pPr>
        <w:pStyle w:val="pj"/>
        <w:rPr>
          <w:lang w:val="kk-KZ"/>
        </w:rPr>
      </w:pPr>
      <w:r w:rsidRPr="00696656">
        <w:rPr>
          <w:rStyle w:val="s0"/>
          <w:lang w:val="kk-KZ"/>
        </w:rPr>
        <w:t> </w:t>
      </w:r>
    </w:p>
    <w:p w:rsidR="00696656" w:rsidRPr="00696656" w:rsidRDefault="00696656" w:rsidP="00696656">
      <w:pPr>
        <w:pStyle w:val="pj"/>
        <w:rPr>
          <w:lang w:val="kk-KZ"/>
        </w:rPr>
      </w:pPr>
      <w:bookmarkStart w:id="2" w:name="SUB250000"/>
      <w:bookmarkStart w:id="3" w:name="_GoBack"/>
      <w:bookmarkEnd w:id="2"/>
      <w:bookmarkEnd w:id="3"/>
      <w:r w:rsidRPr="00696656">
        <w:rPr>
          <w:rStyle w:val="s1"/>
          <w:lang w:val="kk-KZ"/>
        </w:rPr>
        <w:t>Мемлекеттік аудит және қаржылық бақылау нәтижелері бойынша қабылданатын құжаттардың мониторингі</w:t>
      </w:r>
    </w:p>
    <w:p w:rsidR="00696656" w:rsidRPr="00696656" w:rsidRDefault="00696656" w:rsidP="00696656">
      <w:pPr>
        <w:pStyle w:val="pj"/>
        <w:rPr>
          <w:lang w:val="kk-KZ"/>
        </w:rPr>
      </w:pPr>
      <w:r w:rsidRPr="00696656">
        <w:rPr>
          <w:rStyle w:val="s0"/>
          <w:lang w:val="kk-KZ"/>
        </w:rPr>
        <w:t>1. Мемлекеттік аудит және қаржылық бақылау органдары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p w:rsidR="00696656" w:rsidRPr="00696656" w:rsidRDefault="00696656" w:rsidP="00696656">
      <w:pPr>
        <w:pStyle w:val="pj"/>
        <w:rPr>
          <w:lang w:val="kk-KZ"/>
        </w:rPr>
      </w:pPr>
      <w:r w:rsidRPr="00696656">
        <w:rPr>
          <w:rStyle w:val="s0"/>
          <w:lang w:val="kk-KZ"/>
        </w:rPr>
        <w:t>2. Ұсынымдардың қаралу нәтижелері туралы және нұсқамалардың орындалуы туралы ақпаратты мемлекеттік аудит объектісі және өзге де мүдделі тұлғалар растау құжаттарын қоса бере отырып, тиісті мемлекеттік аудит және қаржылық бақылау органына тиісті құжаттарда көрсетілген мерзімдерде жіберуге міндетті.</w:t>
      </w:r>
    </w:p>
    <w:p w:rsidR="00696656" w:rsidRPr="00696656" w:rsidRDefault="00696656" w:rsidP="00696656">
      <w:pPr>
        <w:pStyle w:val="pj"/>
        <w:rPr>
          <w:lang w:val="kk-KZ"/>
        </w:rPr>
      </w:pPr>
      <w:r w:rsidRPr="00696656">
        <w:rPr>
          <w:rStyle w:val="s0"/>
          <w:lang w:val="kk-KZ"/>
        </w:rPr>
        <w:t xml:space="preserve">3.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w:t>
      </w:r>
      <w:hyperlink r:id="rId7" w:history="1">
        <w:r w:rsidRPr="00696656">
          <w:rPr>
            <w:rStyle w:val="a5"/>
            <w:lang w:val="kk-KZ"/>
          </w:rPr>
          <w:t>кодексіне</w:t>
        </w:r>
      </w:hyperlink>
      <w:r w:rsidRPr="00696656">
        <w:rPr>
          <w:rStyle w:val="s0"/>
          <w:lang w:val="kk-KZ"/>
        </w:rPr>
        <w:t xml:space="preserve"> сәйкес жауаптылықта болады.</w:t>
      </w: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lastRenderedPageBreak/>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8"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9"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0"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696656"/>
    <w:rsid w:val="00A71917"/>
    <w:rsid w:val="00C44E82"/>
    <w:rsid w:val="00CB4543"/>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paragraph" w:customStyle="1" w:styleId="pr">
    <w:name w:val="pr"/>
    <w:basedOn w:val="a"/>
    <w:rsid w:val="00696656"/>
    <w:pPr>
      <w:spacing w:after="0" w:line="240" w:lineRule="auto"/>
      <w:jc w:val="right"/>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paragraph" w:customStyle="1" w:styleId="pr">
    <w:name w:val="pr"/>
    <w:basedOn w:val="a"/>
    <w:rsid w:val="00696656"/>
    <w:pPr>
      <w:spacing w:after="0" w:line="240" w:lineRule="auto"/>
      <w:jc w:val="right"/>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t.kz" TargetMode="External"/><Relationship Id="rId3" Type="http://schemas.openxmlformats.org/officeDocument/2006/relationships/styles" Target="styles.xml"/><Relationship Id="rId7" Type="http://schemas.openxmlformats.org/officeDocument/2006/relationships/hyperlink" Target="http://online.zakon.kz/Document/?doc_id=31577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nline.zakon.kz" TargetMode="External"/><Relationship Id="rId4" Type="http://schemas.microsoft.com/office/2007/relationships/stylesWithEffects" Target="stylesWithEffects.xml"/><Relationship Id="rId9" Type="http://schemas.openxmlformats.org/officeDocument/2006/relationships/hyperlink" Target="http://www.paragra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D61A-B40E-4158-8388-78E66B92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2022-09-18T18:37:00Z</dcterms:created>
  <dcterms:modified xsi:type="dcterms:W3CDTF">2022-09-18T18:51:00Z</dcterms:modified>
</cp:coreProperties>
</file>